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  <w:t>优秀组织奖积分表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</w:pPr>
    </w:p>
    <w:tbl>
      <w:tblPr>
        <w:tblStyle w:val="3"/>
        <w:tblW w:w="7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43"/>
        <w:gridCol w:w="233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8" w:type="dxa"/>
            <w:gridSpan w:val="4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left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团总支：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楷体_GBK"/>
                <w:bCs/>
                <w:color w:val="000000"/>
                <w:sz w:val="24"/>
              </w:rPr>
              <w:t>指</w:t>
            </w: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方正楷体_GBK"/>
                <w:bCs/>
                <w:color w:val="000000"/>
                <w:sz w:val="24"/>
              </w:rPr>
              <w:t>标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内  容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积</w:t>
            </w:r>
            <w:r>
              <w:rPr>
                <w:rFonts w:ascii="Times New Roman" w:hAnsi="Times New Roman" w:eastAsia="方正楷体_GBK"/>
                <w:bCs/>
                <w:color w:val="000000"/>
                <w:sz w:val="24"/>
              </w:rPr>
              <w:t>分标准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得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校赛参加情况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基层团支部书记参赛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一人积2分，两人积4分，不超过4分。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专职团干部参赛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一人积2分，不超过2分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青年教师提交“三力一度两保障”工作案例推介表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一篇工作案例积2分，不超过4分。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推报省赛情况</w:t>
            </w:r>
          </w:p>
        </w:tc>
        <w:tc>
          <w:tcPr>
            <w:tcW w:w="2443" w:type="dxa"/>
            <w:vMerge w:val="restart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三个赛道进入省赛人数</w:t>
            </w:r>
          </w:p>
        </w:tc>
        <w:tc>
          <w:tcPr>
            <w:tcW w:w="2335" w:type="dxa"/>
            <w:vMerge w:val="restart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进入省赛1人积2分。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</w:p>
        </w:tc>
        <w:tc>
          <w:tcPr>
            <w:tcW w:w="2443" w:type="dxa"/>
            <w:vMerge w:val="continue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</w:p>
        </w:tc>
        <w:tc>
          <w:tcPr>
            <w:tcW w:w="2335" w:type="dxa"/>
            <w:vMerge w:val="continue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</w:p>
        </w:tc>
        <w:tc>
          <w:tcPr>
            <w:tcW w:w="2443" w:type="dxa"/>
            <w:vMerge w:val="continue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</w:p>
        </w:tc>
        <w:tc>
          <w:tcPr>
            <w:tcW w:w="2335" w:type="dxa"/>
            <w:vMerge w:val="continue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附加分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举办院级选拨赛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积4分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8" w:type="dxa"/>
            <w:gridSpan w:val="4"/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left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  <w:t>总分：</w:t>
            </w:r>
          </w:p>
        </w:tc>
      </w:tr>
    </w:tbl>
    <w:p>
      <w:pPr>
        <w:jc w:val="left"/>
        <w:rPr>
          <w:color w:val="000000"/>
        </w:rPr>
      </w:pPr>
      <w:r>
        <w:rPr>
          <w:rFonts w:hint="eastAsia"/>
          <w:color w:val="000000"/>
        </w:rPr>
        <w:t xml:space="preserve">     （注：若学院举办院级选拔赛，请提交佐证材料。）</w:t>
      </w:r>
    </w:p>
    <w:p>
      <w:bookmarkStart w:id="0" w:name="_GoBack"/>
      <w:bookmarkEnd w:id="0"/>
    </w:p>
    <w:sectPr>
      <w:pgSz w:w="11906" w:h="16838"/>
      <w:pgMar w:top="1440" w:right="1644" w:bottom="1440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C7B39"/>
    <w:rsid w:val="203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2022-04-18T15:15:00Z</dcterms:created>
  <dc:creator>请别打扰他</dc:creator>
  <cp:lastModifiedBy>请别打扰他</cp:lastModifiedBy>
  <dcterms:modified xsi:type="dcterms:W3CDTF">2022-04-18T15:15:52Z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C3A784533174489BB2302CC5FB728225</vt:lpwstr>
  </property>
</Properties>
</file>